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color w:val="141b36"/>
        </w:rPr>
      </w:pPr>
      <w:r w:rsidDel="00000000" w:rsidR="00000000" w:rsidRPr="00000000">
        <w:rPr>
          <w:color w:val="141b36"/>
          <w:rtl w:val="0"/>
        </w:rPr>
        <w:t xml:space="preserve">2026 metų balandžio 22 dieną Vilniuje (Labdarių g. 7) bei nuotoliniu būdu (per Zoom platformą) įvyko trečiasis šiais metais LASS valdybos posėdis. Jame dalyvavo 12 LASS valdybos narių, LASS revizijos komisijos nariai, kviestiniai asmenys.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color w:val="141b36"/>
        </w:rPr>
      </w:pPr>
      <w:r w:rsidDel="00000000" w:rsidR="00000000" w:rsidRPr="00000000">
        <w:rPr>
          <w:color w:val="141b36"/>
          <w:rtl w:val="0"/>
        </w:rPr>
        <w:t xml:space="preserve">Valdybos posėdis buvo tiesiogiai transliuojamas LASS Facebook paskyroje.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color w:val="141b36"/>
        </w:rPr>
      </w:pPr>
      <w:r w:rsidDel="00000000" w:rsidR="00000000" w:rsidRPr="00000000">
        <w:rPr>
          <w:color w:val="141b36"/>
          <w:rtl w:val="0"/>
        </w:rPr>
        <w:t xml:space="preserve">Posėdyje patvirtinti penkių LASS įstaigų (VšĮ LASS pietvakarių centro, VšĮ LASS šiaurės rytų centro, VšĮ LASS Vilniaus regiono centro, VšĮ LASS respublikinio centro ir VšĮ „Aksida“) 2025 m. finansinių ataskaitų rinkiniai ir veiklos ataskaitos. Taip pat patvirtinti dviejų LASS bendrovių (UAB „Regseda“ ir UAB „Liregus“) 2025 m. finansinių ataskaitų rinkiniai bei pelno paskirstymas.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color w:val="141b36"/>
        </w:rPr>
      </w:pPr>
      <w:r w:rsidDel="00000000" w:rsidR="00000000" w:rsidRPr="00000000">
        <w:rPr>
          <w:color w:val="141b36"/>
          <w:rtl w:val="0"/>
        </w:rPr>
        <w:t xml:space="preserve">Svarstytos LASS Respublikiniam fondui pateiktos projektų paraiškos, iš kurių lėšos skirtos šioms projektų paraiškoms:</w:t>
      </w:r>
    </w:p>
    <w:p w:rsidR="00000000" w:rsidDel="00000000" w:rsidP="00000000" w:rsidRDefault="00000000" w:rsidRPr="00000000" w14:paraId="00000005">
      <w:pPr>
        <w:numPr>
          <w:ilvl w:val="0"/>
          <w:numId w:val="1"/>
        </w:numPr>
        <w:pBdr>
          <w:top w:color="auto" w:space="0" w:sz="0" w:val="none"/>
          <w:left w:color="auto" w:space="0" w:sz="0" w:val="none"/>
          <w:bottom w:color="auto" w:space="0" w:sz="0" w:val="none"/>
          <w:right w:color="auto" w:space="0" w:sz="0" w:val="none"/>
          <w:between w:color="auto" w:space="0" w:sz="0" w:val="none"/>
        </w:pBdr>
        <w:spacing w:line="354.24" w:lineRule="auto"/>
        <w:ind w:left="720" w:hanging="360"/>
        <w:rPr>
          <w:rFonts w:ascii="Arial" w:cs="Arial" w:eastAsia="Arial" w:hAnsi="Arial"/>
          <w:sz w:val="22"/>
          <w:szCs w:val="22"/>
        </w:rPr>
      </w:pPr>
      <w:r w:rsidDel="00000000" w:rsidR="00000000" w:rsidRPr="00000000">
        <w:rPr>
          <w:color w:val="141b36"/>
          <w:rtl w:val="0"/>
        </w:rPr>
        <w:t xml:space="preserve">VšĮ LASS pietvakarių centro projektui „LASS 100-metis visi drauge”;</w:t>
      </w:r>
    </w:p>
    <w:p w:rsidR="00000000" w:rsidDel="00000000" w:rsidP="00000000" w:rsidRDefault="00000000" w:rsidRPr="00000000" w14:paraId="00000006">
      <w:pPr>
        <w:numPr>
          <w:ilvl w:val="0"/>
          <w:numId w:val="1"/>
        </w:numPr>
        <w:pBdr>
          <w:top w:color="auto" w:space="0" w:sz="0" w:val="none"/>
          <w:left w:color="auto" w:space="0" w:sz="0" w:val="none"/>
          <w:bottom w:color="auto" w:space="0" w:sz="0" w:val="none"/>
          <w:right w:color="auto" w:space="0" w:sz="0" w:val="none"/>
          <w:between w:color="auto" w:space="0" w:sz="0" w:val="none"/>
        </w:pBdr>
        <w:spacing w:line="354.24" w:lineRule="auto"/>
        <w:ind w:left="720" w:hanging="360"/>
        <w:rPr>
          <w:rFonts w:ascii="Arial" w:cs="Arial" w:eastAsia="Arial" w:hAnsi="Arial"/>
          <w:sz w:val="22"/>
          <w:szCs w:val="22"/>
        </w:rPr>
      </w:pPr>
      <w:r w:rsidDel="00000000" w:rsidR="00000000" w:rsidRPr="00000000">
        <w:rPr>
          <w:color w:val="141b36"/>
          <w:rtl w:val="0"/>
        </w:rPr>
        <w:t xml:space="preserve">VšĮ LASS šiaurės rytų centro projektui „Neregių tarpusavio ryšio stiprinimas“;</w:t>
      </w:r>
    </w:p>
    <w:p w:rsidR="00000000" w:rsidDel="00000000" w:rsidP="00000000" w:rsidRDefault="00000000" w:rsidRPr="00000000" w14:paraId="00000007">
      <w:pPr>
        <w:numPr>
          <w:ilvl w:val="0"/>
          <w:numId w:val="1"/>
        </w:numPr>
        <w:pBdr>
          <w:top w:color="auto" w:space="0" w:sz="0" w:val="none"/>
          <w:left w:color="auto" w:space="0" w:sz="0" w:val="none"/>
          <w:bottom w:color="auto" w:space="0" w:sz="0" w:val="none"/>
          <w:right w:color="auto" w:space="0" w:sz="0" w:val="none"/>
          <w:between w:color="auto" w:space="0" w:sz="0" w:val="none"/>
        </w:pBdr>
        <w:spacing w:line="354.24" w:lineRule="auto"/>
        <w:ind w:left="720" w:hanging="360"/>
        <w:rPr>
          <w:rFonts w:ascii="Arial" w:cs="Arial" w:eastAsia="Arial" w:hAnsi="Arial"/>
          <w:sz w:val="22"/>
          <w:szCs w:val="22"/>
        </w:rPr>
      </w:pPr>
      <w:r w:rsidDel="00000000" w:rsidR="00000000" w:rsidRPr="00000000">
        <w:rPr>
          <w:color w:val="141b36"/>
          <w:rtl w:val="0"/>
        </w:rPr>
        <w:t xml:space="preserve">VšĮ LASS Vilniaus regiono centro projektui „Vilniaus regiono bendruomenės narių su regos negalia LASS šimtmečio renginių minėjimai“;</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pacing w:line="354.24" w:lineRule="auto"/>
        <w:ind w:left="720" w:hanging="360"/>
        <w:rPr>
          <w:rFonts w:ascii="Arial" w:cs="Arial" w:eastAsia="Arial" w:hAnsi="Arial"/>
          <w:sz w:val="22"/>
          <w:szCs w:val="22"/>
        </w:rPr>
      </w:pPr>
      <w:r w:rsidDel="00000000" w:rsidR="00000000" w:rsidRPr="00000000">
        <w:rPr>
          <w:color w:val="141b36"/>
          <w:rtl w:val="0"/>
        </w:rPr>
        <w:t xml:space="preserve">Lietuvos aklųjų sporto federacijos projektui „Neparalimpinių sporto šakų sportininkų dalyvavimas tarptautiniuose čempionatuose ir specialaus inventoriaus įsigijimui“;</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pacing w:line="354.24" w:lineRule="auto"/>
        <w:ind w:left="720" w:hanging="360"/>
        <w:rPr>
          <w:rFonts w:ascii="Arial" w:cs="Arial" w:eastAsia="Arial" w:hAnsi="Arial"/>
          <w:sz w:val="22"/>
          <w:szCs w:val="22"/>
        </w:rPr>
      </w:pPr>
      <w:r w:rsidDel="00000000" w:rsidR="00000000" w:rsidRPr="00000000">
        <w:rPr>
          <w:color w:val="141b36"/>
          <w:rtl w:val="0"/>
        </w:rPr>
        <w:t xml:space="preserve">Klaipėdos regos ugdymo centro projektui „Tarptautinė neregių ir silpnaregių mokinių ir jaunimo vasaros stovykla „Pažinimo stebuklas 2026““.</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354.24" w:lineRule="auto"/>
        <w:ind w:left="480" w:right="1920" w:firstLine="0"/>
        <w:rPr>
          <w:color w:val="141b36"/>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6834" w:w="11909" w:orient="portrait"/>
      <w:pgMar w:bottom="283.46456692913387" w:top="283.46456692913387" w:left="283.46456692913387" w:right="283.464566929133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141b36"/>
        <w:sz w:val="32"/>
        <w:szCs w:val="3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