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400" w:line="354.24" w:lineRule="auto"/>
        <w:ind w:left="480" w:right="1920" w:firstLine="0"/>
        <w:rPr>
          <w:color w:val="141b36"/>
        </w:rPr>
      </w:pPr>
      <w:r w:rsidDel="00000000" w:rsidR="00000000" w:rsidRPr="00000000">
        <w:rPr>
          <w:color w:val="141b36"/>
          <w:rtl w:val="0"/>
        </w:rPr>
        <w:t xml:space="preserve">2025 metų rugsėjo 10 dieną Vilniuje (Labdarių g.7) bei nuotoliniu būdu (per Zoom platformą) įvyko trečiasis šiais metais LASS valdybos posėdis. Jame dalyvavo 13 (iš 14) LASS valdybos narių, kviestiniai asmenys.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400" w:line="354.24" w:lineRule="auto"/>
        <w:ind w:left="480" w:right="1920" w:firstLine="0"/>
        <w:rPr>
          <w:color w:val="141b36"/>
        </w:rPr>
      </w:pPr>
      <w:r w:rsidDel="00000000" w:rsidR="00000000" w:rsidRPr="00000000">
        <w:rPr>
          <w:color w:val="141b36"/>
          <w:rtl w:val="0"/>
        </w:rPr>
        <w:t xml:space="preserve">Valdybos posėdis buvo tiesiogiai transliuojamas LASS socialinio tinklo Facebook paskyroje.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400" w:line="354.24" w:lineRule="auto"/>
        <w:ind w:left="480" w:right="1920" w:firstLine="0"/>
        <w:rPr>
          <w:color w:val="141b36"/>
        </w:rPr>
      </w:pPr>
      <w:r w:rsidDel="00000000" w:rsidR="00000000" w:rsidRPr="00000000">
        <w:rPr>
          <w:color w:val="141b36"/>
          <w:rtl w:val="0"/>
        </w:rPr>
        <w:t xml:space="preserve">Vadovaujantis 2025 m. balandžio 10 d. vykusiame LASS XXXVII suvažiavime patvirtinta nauja LASS turto valdymo ir ūkinės veiklos 2022-2026 m. rezoliucijos redakcija, valdyba priėmė sprendimą dėl naujos atskaitymų į LASS respublikinį fondą socialinėms programoms vykdyti ir jame sutelktų lėšų naudojimo tvarkos aprašo redakcijos. Atnaujintą informaciją galima rasti interneto svetainėje </w:t>
      </w:r>
      <w:hyperlink r:id="rId6">
        <w:r w:rsidDel="00000000" w:rsidR="00000000" w:rsidRPr="00000000">
          <w:rPr>
            <w:color w:val="284ecb"/>
            <w:rtl w:val="0"/>
          </w:rPr>
          <w:t xml:space="preserve">www.lass.lt</w:t>
        </w:r>
      </w:hyperlink>
      <w:r w:rsidDel="00000000" w:rsidR="00000000" w:rsidRPr="00000000">
        <w:rPr>
          <w:color w:val="141b36"/>
          <w:rtl w:val="0"/>
        </w:rPr>
        <w:t xml:space="preserve"> (skiltyje „Darbuotojams“).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400" w:line="354.24" w:lineRule="auto"/>
        <w:ind w:left="480" w:right="1920" w:firstLine="0"/>
        <w:rPr>
          <w:color w:val="141b36"/>
        </w:rPr>
      </w:pPr>
      <w:r w:rsidDel="00000000" w:rsidR="00000000" w:rsidRPr="00000000">
        <w:rPr>
          <w:color w:val="141b36"/>
          <w:rtl w:val="0"/>
        </w:rPr>
        <w:t xml:space="preserve">Siekiant stiprinti LASS filialus bei susisteminti jų atliekamas funkcijas, valdyba patvirtino LASS filialo veiklos standartą. Dokumentą galima rasti interneto svetainėje </w:t>
      </w:r>
      <w:hyperlink r:id="rId7">
        <w:r w:rsidDel="00000000" w:rsidR="00000000" w:rsidRPr="00000000">
          <w:rPr>
            <w:color w:val="284ecb"/>
            <w:rtl w:val="0"/>
          </w:rPr>
          <w:t xml:space="preserve">www.lass.lt</w:t>
        </w:r>
      </w:hyperlink>
      <w:r w:rsidDel="00000000" w:rsidR="00000000" w:rsidRPr="00000000">
        <w:rPr>
          <w:color w:val="141b36"/>
          <w:rtl w:val="0"/>
        </w:rPr>
        <w:t xml:space="preserve"> (skiltyje „Darbuotojams“).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400" w:line="354.24" w:lineRule="auto"/>
        <w:ind w:left="480" w:right="1920" w:firstLine="0"/>
        <w:rPr>
          <w:color w:val="141b36"/>
        </w:rPr>
      </w:pPr>
      <w:r w:rsidDel="00000000" w:rsidR="00000000" w:rsidRPr="00000000">
        <w:rPr>
          <w:color w:val="141b36"/>
          <w:rtl w:val="0"/>
        </w:rPr>
        <w:t xml:space="preserve">Valdyba pritarė posėdyje pateiktai informacijai apie LASS įstaigų ir įmonių ūkinės-finansinės veiklos rezultatus. Per 2025 m. pirmą pusmetį 2 LASS įmonių veikla buvo pelninga: UAB „Regseda“ pelnas sudarė 87,6 tūkst. Eur, UAB „Liregus” – 14,5 tūkst. Eur. Tačiau VšĮ „Aksida“ patyrė 32,0 tūkst. Eur nuostolį. 2025 m. 2-ą ketvirtį vidutinis visose LASS gamybos įmonėse dirbusių aklųjų ir silpnaregių skaičius sudarė 38,5 proc. visų dirbančiųjų. Privalomą procentą atitiko dvi LASS įmonės (UAB „Liregus“ – 43,0 proc. (turi būti ne mažiau kaip 36 proc.), UAB „Regseda“ – 36,8 proc. (turi būti ne mažiau kaip 34 proc.)). Tačiau VšĮ „Aksida“ jis siekė 34,4 proc. (turi būti ne mažiau kaip 38 proc.). Per 2025 m. pirmą pusmetį pelninga veikla buvo tik VšĮ LASS Vilniaus regiono centre, kur pelnas siekė 2,8 tūkst. Eur. Dvi LASS įstaigos patyrė nuostolį: VšĮ LASS respublikinis centras – 64,1 tūkst. Eur, VšĮ LASS pietvakarių centras – 49,9 tūkst. Eur. Tuo tarpu VšĮ LASS šiaurės rytų centro veiklos rezultatas – 0,0 tūkst. Eur.</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400" w:line="354.24" w:lineRule="auto"/>
        <w:ind w:left="480" w:right="1920" w:firstLine="0"/>
        <w:rPr>
          <w:color w:val="141b36"/>
        </w:rPr>
      </w:pPr>
      <w:r w:rsidDel="00000000" w:rsidR="00000000" w:rsidRPr="00000000">
        <w:rPr>
          <w:color w:val="141b36"/>
          <w:rtl w:val="0"/>
        </w:rPr>
        <w:t xml:space="preserve">Valdyba pritarė UAB „Levila“ prašymui dešimčiai metų pratęsti šiuo metu galiojančią jos sutartį su LASS dėl LASS nuosavybės teise priklausančio baseino (Skroblų g. 3A Vilniuje) ir prie jo esančių patalpų panaudos.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line="354.24" w:lineRule="auto"/>
        <w:ind w:left="480" w:right="1920" w:firstLine="0"/>
        <w:rPr>
          <w:color w:val="141b36"/>
        </w:rPr>
      </w:pPr>
      <w:r w:rsidDel="00000000" w:rsidR="00000000" w:rsidRPr="00000000">
        <w:rPr>
          <w:color w:val="141b36"/>
          <w:rtl w:val="0"/>
        </w:rPr>
        <w:t xml:space="preserve">Posėdyje apžvelgti 2025 m. vasaros sezono VšĮ LASS respublikinio centro poilsiavietės „Zelva“ veiklos rezultatai. Pasidalinta veiklos gairėmis 2026 m. sezonui.</w:t>
      </w:r>
    </w:p>
    <w:p w:rsidR="00000000" w:rsidDel="00000000" w:rsidP="00000000" w:rsidRDefault="00000000" w:rsidRPr="00000000" w14:paraId="00000008">
      <w:pPr>
        <w:rPr/>
      </w:pPr>
      <w:r w:rsidDel="00000000" w:rsidR="00000000" w:rsidRPr="00000000">
        <w:rPr>
          <w:rtl w:val="0"/>
        </w:rPr>
      </w:r>
    </w:p>
    <w:sectPr>
      <w:pgSz w:h="16834" w:w="11909" w:orient="portrait"/>
      <w:pgMar w:bottom="283.46456692913387" w:top="283.46456692913387" w:left="283.46456692913387" w:right="283.4645669291338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l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lass.lt/" TargetMode="External"/><Relationship Id="rId7" Type="http://schemas.openxmlformats.org/officeDocument/2006/relationships/hyperlink" Target="http://www.las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